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ИНСТРУКЦИЯ ПО ОБЕСПЕЧЕНИЮ ИНФОРМАЦИОННОЙ ПОДДЕРЖКИ МЕРОПРИЯТИЙ, ПРОВОДИМЫХ В РАМКАХ ВСЕРОССИЙСКОЙ АКЦИИ «БИБЛИОНОЧЬ-2019»</w:t>
      </w:r>
    </w:p>
    <w:p w:rsidR="00000000" w:rsidDel="00000000" w:rsidP="00000000" w:rsidRDefault="00000000" w:rsidRPr="00000000" w14:paraId="00000002">
      <w:pPr>
        <w:ind w:firstLine="284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Общие сведения</w:t>
      </w:r>
    </w:p>
    <w:p w:rsidR="00000000" w:rsidDel="00000000" w:rsidP="00000000" w:rsidRDefault="00000000" w:rsidRPr="00000000" w14:paraId="00000003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акции «Библионочь» в 2019 году — «Весь мир — театр».</w:t>
      </w:r>
    </w:p>
    <w:p w:rsidR="00000000" w:rsidDel="00000000" w:rsidP="00000000" w:rsidRDefault="00000000" w:rsidRPr="00000000" w14:paraId="00000004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 и распространение сведений о мероприятиях учреждений культуры, проводимых в рамках акции «Библионочь» (в ночь с 20 на 21 апреля), обеспечивается через личный кабинет портала «Культура.РФ» путем размещения анонсов в информационной системе «Единое информационное пространство в сфере культуры» Министерства культуры Российской Федерации.</w:t>
      </w:r>
    </w:p>
    <w:p w:rsidR="00000000" w:rsidDel="00000000" w:rsidP="00000000" w:rsidRDefault="00000000" w:rsidRPr="00000000" w14:paraId="00000005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мероприятиях в 2019 году размещается на следующих информационных ресурсах: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100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портал «Культура.РФ»: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04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официальный сайт акции: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biblionight.culture.ru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:rsidR="00000000" w:rsidDel="00000000" w:rsidP="00000000" w:rsidRDefault="00000000" w:rsidRPr="00000000" w14:paraId="00000009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идентификации мероприятий в социальных сетях необходимо использовать хештеги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#Библионочь2019 #КультураРФ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Размещение информации в личном кабинете на портале «Культура.РФ» </w:t>
        <w:br w:type="textWrapping"/>
        <w:t xml:space="preserve">(АИС «Единое информационное пространство в сфере культуры»)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Зарегистрируйтесь в личном кабинете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all.culture.ru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(если вы уже зарегистрированы, перейдите к шагу 5).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Служба технической поддержки подтвердит присоединение к учреждению или 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получения письма о подтверждении присоединения к учреждению или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создания учреждения войдите в личный кабинет и перейдите во вкладку «Места». Если информация о вашем месте (ваших местах) отсутствует, добавьте ее. Для этого нажмите кнопку «Добавить место» и заполнить форму.</w:t>
      </w:r>
    </w:p>
    <w:p w:rsidR="00000000" w:rsidDel="00000000" w:rsidP="00000000" w:rsidRDefault="00000000" w:rsidRPr="00000000" w14:paraId="00000010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ваше место уже размещено в системе, проверьте правильность информации и при необходимости внесите изменения.</w:t>
      </w:r>
    </w:p>
    <w:p w:rsidR="00000000" w:rsidDel="00000000" w:rsidP="00000000" w:rsidRDefault="00000000" w:rsidRPr="00000000" w14:paraId="00000011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Загрузить изображение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Сюда необходимо поместить фотографию места. Это может быть снимок здания или внутреннего интерьера. Основное требование — картинка должна быть горизонтальной, качественной, без букв и обрезанных элементов, размером не менее 600 на 400 пикселей.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0425" cy="299021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Рекомендуется писать его в упрощенном виде, не 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000000" w:rsidDel="00000000" w:rsidP="00000000" w:rsidRDefault="00000000" w:rsidRPr="00000000" w14:paraId="00000014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Категория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Укажите тип учреждения культуры: библиотека, театр, музей и т. д. Можно выбрать только одну категорию.</w:t>
      </w:r>
    </w:p>
    <w:p w:rsidR="00000000" w:rsidDel="00000000" w:rsidP="00000000" w:rsidRDefault="00000000" w:rsidRPr="00000000" w14:paraId="00000015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Теги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этом поле обозначаются тематические и целевые особенности места. Теги могут быть, например, такими: «Культурный центр», «Библиотека-музей» и т. д.</w:t>
      </w:r>
    </w:p>
    <w:p w:rsidR="00000000" w:rsidDel="00000000" w:rsidP="00000000" w:rsidRDefault="00000000" w:rsidRPr="00000000" w14:paraId="00000016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Краткое 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 поле необходимо добавить небольшой интересный текст (300–1000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:rsidR="00000000" w:rsidDel="00000000" w:rsidP="00000000" w:rsidRDefault="00000000" w:rsidRPr="00000000" w14:paraId="00000017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Откройте вкладку «События» и нажмите на кнопку «Создать событие».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Главное изображение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 или иллюстрации из брендбука. Главное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000000" w:rsidDel="00000000" w:rsidP="00000000" w:rsidRDefault="00000000" w:rsidRPr="00000000" w14:paraId="00000019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  <w:tab/>
        <w:t xml:space="preserve"> </w:t>
      </w:r>
    </w:p>
    <w:p w:rsidR="00000000" w:rsidDel="00000000" w:rsidP="00000000" w:rsidRDefault="00000000" w:rsidRPr="00000000" w14:paraId="0000001A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Категория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Укажите категорию, которая соответствует событию: «Встречи», «Концерты», «Спектакли» и т. д. Можно выбрать только одну категорию.</w:t>
      </w:r>
    </w:p>
    <w:p w:rsidR="00000000" w:rsidDel="00000000" w:rsidP="00000000" w:rsidRDefault="00000000" w:rsidRPr="00000000" w14:paraId="0000001B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Теги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000000" w:rsidDel="00000000" w:rsidP="00000000" w:rsidRDefault="00000000" w:rsidRPr="00000000" w14:paraId="0000001C">
      <w:pPr>
        <w:ind w:firstLine="284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Обязательно установите тег «Библионочь»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проводите мероприятия в рамках акции «Библионочь» только для детей и в вечернее время, добавьте к событию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тег «Библиосумерки»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как тема акции в 2019 году — «Весь мир — театр», то при размещении событий на театральную тематику ставьте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тег «Год театра»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/>
        <w:drawing>
          <wp:inline distB="0" distT="0" distL="0" distR="0">
            <wp:extent cx="5940425" cy="324866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Цена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Краткое 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 следует дублировать название события, писать дату и время его проведения. Также не стоит добавлять в нее предложение из полного описания.</w:t>
      </w:r>
    </w:p>
    <w:p w:rsidR="00000000" w:rsidDel="00000000" w:rsidP="00000000" w:rsidRDefault="00000000" w:rsidRPr="00000000" w14:paraId="00000022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Описание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Оптимальный объем текста — 500–1000 символов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(если необходимо, чтобы читатель получил более подробную информацию, поставьте ссылку на сайт учреждения или группу в социальных сетях). Старайтесь, чтобы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текст о ваших событиях был уникальным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и не копировал полностью информацию из других источников.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58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Изображения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Изображения для анонса выбирайте эстетически привлекательные, в высоком разрешении (от 630 на 420 пикселей). Не используйте в качестве основной фотографии афиши, отрывки анонсов в файле jpg и снимки с размытыми фигурами, темные, с нарушенными пропорциями и т. д. </w:t>
      </w:r>
    </w:p>
    <w:p w:rsidR="00000000" w:rsidDel="00000000" w:rsidP="00000000" w:rsidRDefault="00000000" w:rsidRPr="00000000" w14:paraId="00000024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Место проведения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Есть два варианта указания места: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Место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принадлежит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Место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не принадлежит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учреждению: если место не получается найти по названию, нажмите на выделенную часть фразы «…укажите его адрес вручную», заполните форму и пропишите в поле «Комментарий к адресу» полное название места проведения.</w:t>
      </w:r>
    </w:p>
    <w:p w:rsidR="00000000" w:rsidDel="00000000" w:rsidP="00000000" w:rsidRDefault="00000000" w:rsidRPr="00000000" w14:paraId="00000027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Время проведения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это поле можно добавить расписание трех видов: в указанные дни, по расписанию и круглосуточно.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/>
        <w:drawing>
          <wp:inline distB="0" distT="0" distL="0" distR="0">
            <wp:extent cx="5940425" cy="338899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Сохранение события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в системе происходит сразу после нажатия кнопки «Сохранить». Событие попадает в очередь на проверку модератором. Срок прохождения модерации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до 48 часов (без учета выходных и праздничных дней). Не нужно редактировать событие до того, как оно пройдет модерацию. В противном случае событие попадет в конец очереди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 срок модерации увеличится.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решения любых вопросов, связанных с работой в личном кабинете на портале «Культура.РФ», вы всегда можете обратиться в службу технической поддержки по тел. 8 800 200 37 17 (с 9:00 до 18:00 по московскому времени) или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info@eipsk.ru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footerReference r:id="rId13" w:type="default"/>
      <w:pgSz w:h="16838" w:w="11906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rtl w:val="0"/>
      </w:rPr>
      <w:t xml:space="preserve">Служба поддержки — тел.: 8 800 200 37 17, e-mail: info@eipsk.ru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ll.culture.ru/cabinet/posts/25" TargetMode="External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://www.culture.ru/" TargetMode="External"/><Relationship Id="rId7" Type="http://schemas.openxmlformats.org/officeDocument/2006/relationships/hyperlink" Target="https://biblionight.culture.ru" TargetMode="External"/><Relationship Id="rId8" Type="http://schemas.openxmlformats.org/officeDocument/2006/relationships/hyperlink" Target="http://all.cultu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